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Pr="00FD57E4" w:rsidRDefault="000A0023" w:rsidP="00E75384">
      <w:pPr>
        <w:rPr>
          <w:sz w:val="28"/>
          <w:szCs w:val="28"/>
        </w:rPr>
      </w:pPr>
    </w:p>
    <w:p w:rsidR="000A0023" w:rsidRPr="00FD57E4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>ЗАКЛЮЧЕНИЕ</w:t>
      </w:r>
    </w:p>
    <w:p w:rsidR="00F8479E" w:rsidRPr="00FD57E4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 xml:space="preserve">на проект закона Удмуртской Республики </w:t>
      </w:r>
      <w:bookmarkStart w:id="0" w:name="OLE_LINK8"/>
      <w:bookmarkStart w:id="1" w:name="OLE_LINK9"/>
      <w:r w:rsidR="00A455F0" w:rsidRPr="00FD57E4">
        <w:rPr>
          <w:b/>
          <w:sz w:val="28"/>
          <w:szCs w:val="28"/>
        </w:rPr>
        <w:t xml:space="preserve">№ </w:t>
      </w:r>
      <w:r w:rsidR="00F01666" w:rsidRPr="00FD57E4">
        <w:rPr>
          <w:b/>
          <w:sz w:val="28"/>
          <w:szCs w:val="28"/>
        </w:rPr>
        <w:t>840</w:t>
      </w:r>
      <w:r w:rsidR="00296191">
        <w:rPr>
          <w:b/>
          <w:sz w:val="28"/>
          <w:szCs w:val="28"/>
        </w:rPr>
        <w:t>3</w:t>
      </w:r>
      <w:r w:rsidR="00F01666" w:rsidRPr="00FD57E4">
        <w:rPr>
          <w:b/>
          <w:sz w:val="28"/>
          <w:szCs w:val="28"/>
        </w:rPr>
        <w:t>-7</w:t>
      </w:r>
      <w:r w:rsidR="00440A8C" w:rsidRPr="00FD57E4">
        <w:rPr>
          <w:b/>
          <w:sz w:val="28"/>
          <w:szCs w:val="28"/>
        </w:rPr>
        <w:t>зп</w:t>
      </w:r>
      <w:r w:rsidR="00936275" w:rsidRPr="00FD57E4">
        <w:rPr>
          <w:b/>
          <w:sz w:val="28"/>
          <w:szCs w:val="28"/>
        </w:rPr>
        <w:t xml:space="preserve"> </w:t>
      </w:r>
    </w:p>
    <w:p w:rsidR="00F01666" w:rsidRPr="00FD57E4" w:rsidRDefault="000A0023" w:rsidP="00F01666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>«</w:t>
      </w:r>
      <w:r w:rsidR="00F01666" w:rsidRPr="00FD57E4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F01666" w:rsidRPr="00FD57E4" w:rsidRDefault="00F01666" w:rsidP="00F01666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 xml:space="preserve">«О мерах дополнительной социальной поддержки граждан </w:t>
      </w:r>
    </w:p>
    <w:p w:rsidR="00F01666" w:rsidRPr="00FD57E4" w:rsidRDefault="00F01666" w:rsidP="00F01666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 xml:space="preserve">по оплате коммунальных услуг и наделении органов </w:t>
      </w:r>
    </w:p>
    <w:p w:rsidR="00F01666" w:rsidRPr="00FD57E4" w:rsidRDefault="00F01666" w:rsidP="00F01666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 xml:space="preserve">местного самоуправления отдельными государственными </w:t>
      </w:r>
    </w:p>
    <w:p w:rsidR="00F01666" w:rsidRPr="00FD57E4" w:rsidRDefault="00F01666" w:rsidP="00F01666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 xml:space="preserve">полномочиями Удмуртской Республики по предоставлению </w:t>
      </w:r>
    </w:p>
    <w:p w:rsidR="00F01666" w:rsidRPr="00FD57E4" w:rsidRDefault="00F01666" w:rsidP="00F01666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 xml:space="preserve">мер дополнительной социальной поддержки граждан </w:t>
      </w:r>
    </w:p>
    <w:p w:rsidR="00952D36" w:rsidRPr="00FD57E4" w:rsidRDefault="00F01666" w:rsidP="00F01666">
      <w:pPr>
        <w:ind w:left="720" w:right="616" w:firstLine="1"/>
        <w:jc w:val="center"/>
        <w:rPr>
          <w:b/>
          <w:sz w:val="28"/>
          <w:szCs w:val="28"/>
        </w:rPr>
      </w:pPr>
      <w:r w:rsidRPr="00FD57E4">
        <w:rPr>
          <w:b/>
          <w:sz w:val="28"/>
          <w:szCs w:val="28"/>
        </w:rPr>
        <w:t>по оплате коммунальных услуг</w:t>
      </w:r>
      <w:r w:rsidR="00952D36" w:rsidRPr="00FD57E4">
        <w:rPr>
          <w:b/>
          <w:sz w:val="28"/>
          <w:szCs w:val="28"/>
        </w:rPr>
        <w:t>»</w:t>
      </w:r>
    </w:p>
    <w:p w:rsidR="000A0023" w:rsidRPr="00FD57E4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FD57E4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FD57E4" w:rsidRDefault="000A0023" w:rsidP="00F0166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57E4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 w:rsidRPr="00FD57E4">
        <w:rPr>
          <w:sz w:val="28"/>
          <w:szCs w:val="28"/>
        </w:rPr>
        <w:t xml:space="preserve"> </w:t>
      </w:r>
      <w:r w:rsidR="00F01666" w:rsidRPr="00FD57E4">
        <w:rPr>
          <w:sz w:val="28"/>
          <w:szCs w:val="28"/>
        </w:rPr>
        <w:t>№ 840</w:t>
      </w:r>
      <w:r w:rsidR="00296191">
        <w:rPr>
          <w:sz w:val="28"/>
          <w:szCs w:val="28"/>
        </w:rPr>
        <w:t>3</w:t>
      </w:r>
      <w:r w:rsidR="00F01666" w:rsidRPr="00FD57E4">
        <w:rPr>
          <w:sz w:val="28"/>
          <w:szCs w:val="28"/>
        </w:rPr>
        <w:t>-7зп «О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440A8C" w:rsidRPr="00FD57E4">
        <w:rPr>
          <w:sz w:val="28"/>
          <w:szCs w:val="28"/>
        </w:rPr>
        <w:t xml:space="preserve"> </w:t>
      </w:r>
      <w:r w:rsidRPr="00FD57E4">
        <w:rPr>
          <w:sz w:val="28"/>
          <w:szCs w:val="28"/>
        </w:rPr>
        <w:t xml:space="preserve"> (далее – Законопроект), отмечает</w:t>
      </w:r>
      <w:r w:rsidR="00C83D2B" w:rsidRPr="00FD57E4">
        <w:rPr>
          <w:sz w:val="28"/>
          <w:szCs w:val="28"/>
        </w:rPr>
        <w:t xml:space="preserve"> следующее</w:t>
      </w:r>
      <w:r w:rsidRPr="00FD57E4">
        <w:rPr>
          <w:sz w:val="28"/>
          <w:szCs w:val="28"/>
        </w:rPr>
        <w:t>.</w:t>
      </w:r>
    </w:p>
    <w:p w:rsidR="00497CEA" w:rsidRPr="00FD57E4" w:rsidRDefault="00497CEA" w:rsidP="00F0166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57E4">
        <w:rPr>
          <w:sz w:val="28"/>
          <w:szCs w:val="28"/>
        </w:rPr>
        <w:t>Редакция части 1.1 статьи 4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лишит возможности получения мер социальной поддержки граждан, сменивших место жительства в границах муниципального образования</w:t>
      </w:r>
      <w:r w:rsidR="00DD7F39">
        <w:rPr>
          <w:sz w:val="28"/>
          <w:szCs w:val="28"/>
        </w:rPr>
        <w:t>,</w:t>
      </w:r>
      <w:r w:rsidRPr="00FD57E4">
        <w:rPr>
          <w:sz w:val="28"/>
          <w:szCs w:val="28"/>
        </w:rPr>
        <w:t xml:space="preserve"> в случае, когда тариф на коммунальный ресурс по новому месту жительства не превышает тариф на соответствующий коммунальный ресурс по прежнему месту жительства. </w:t>
      </w:r>
      <w:r w:rsidR="00EB373E">
        <w:rPr>
          <w:sz w:val="28"/>
          <w:szCs w:val="28"/>
        </w:rPr>
        <w:t>У</w:t>
      </w:r>
      <w:r w:rsidRPr="00FD57E4">
        <w:rPr>
          <w:sz w:val="28"/>
          <w:szCs w:val="28"/>
        </w:rPr>
        <w:t xml:space="preserve">казанная ситуация станет возможной в связи с тем, что право на получение меры социальной поддержки взаимоувязано в </w:t>
      </w:r>
      <w:r w:rsidR="00DD7F39">
        <w:rPr>
          <w:sz w:val="28"/>
          <w:szCs w:val="28"/>
        </w:rPr>
        <w:t>З</w:t>
      </w:r>
      <w:r w:rsidRPr="00FD57E4">
        <w:rPr>
          <w:sz w:val="28"/>
          <w:szCs w:val="28"/>
        </w:rPr>
        <w:t>аконопроекте с предыдущим местом жительства гражданина, а не с</w:t>
      </w:r>
      <w:r w:rsidR="00041267">
        <w:rPr>
          <w:sz w:val="28"/>
          <w:szCs w:val="28"/>
        </w:rPr>
        <w:t xml:space="preserve"> жилым</w:t>
      </w:r>
      <w:r w:rsidRPr="00FD57E4">
        <w:rPr>
          <w:sz w:val="28"/>
          <w:szCs w:val="28"/>
        </w:rPr>
        <w:t xml:space="preserve"> домом, жители которого получают соответствующую меру социальной поддержки</w:t>
      </w:r>
      <w:r w:rsidR="00FD57E4" w:rsidRPr="00FD57E4">
        <w:rPr>
          <w:sz w:val="28"/>
          <w:szCs w:val="28"/>
        </w:rPr>
        <w:t xml:space="preserve"> в связи с превышением для этого дома платы за коммунальный ресурс установленного предела.</w:t>
      </w:r>
      <w:r w:rsidR="00296191">
        <w:rPr>
          <w:sz w:val="28"/>
          <w:szCs w:val="28"/>
        </w:rPr>
        <w:t xml:space="preserve"> Следовательно, в случае принятия Законопроекта вновь прибывшие жители </w:t>
      </w:r>
      <w:r w:rsidR="00296191">
        <w:rPr>
          <w:sz w:val="28"/>
          <w:szCs w:val="28"/>
        </w:rPr>
        <w:lastRenderedPageBreak/>
        <w:t>жилого дома, оплачивая коммунальную услугу</w:t>
      </w:r>
      <w:r w:rsidR="00DD7F39">
        <w:rPr>
          <w:sz w:val="28"/>
          <w:szCs w:val="28"/>
        </w:rPr>
        <w:t xml:space="preserve"> по повышенному тарифу,</w:t>
      </w:r>
      <w:bookmarkStart w:id="2" w:name="_GoBack"/>
      <w:bookmarkEnd w:id="2"/>
      <w:r w:rsidR="00296191">
        <w:rPr>
          <w:sz w:val="28"/>
          <w:szCs w:val="28"/>
        </w:rPr>
        <w:t xml:space="preserve"> будут лишены права на получение меры социальной поддержки, при этом другие жители этого же </w:t>
      </w:r>
      <w:r w:rsidR="00041267">
        <w:rPr>
          <w:sz w:val="28"/>
          <w:szCs w:val="28"/>
        </w:rPr>
        <w:t xml:space="preserve">жилого </w:t>
      </w:r>
      <w:r w:rsidR="00296191">
        <w:rPr>
          <w:sz w:val="28"/>
          <w:szCs w:val="28"/>
        </w:rPr>
        <w:t>дома, оплачивающие такие же коммунальные услуги по тем же тарифам, будут такие меры социальной поддержки получать.</w:t>
      </w:r>
    </w:p>
    <w:p w:rsidR="00FB3A96" w:rsidRPr="00FD57E4" w:rsidRDefault="00FD57E4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57E4">
        <w:rPr>
          <w:sz w:val="28"/>
          <w:szCs w:val="28"/>
        </w:rPr>
        <w:t xml:space="preserve">В остальном </w:t>
      </w:r>
      <w:r w:rsidR="000A0023" w:rsidRPr="00FD57E4">
        <w:rPr>
          <w:sz w:val="28"/>
          <w:szCs w:val="28"/>
        </w:rPr>
        <w:t xml:space="preserve">Законопроект соответствует </w:t>
      </w:r>
      <w:r w:rsidR="00FB3A96" w:rsidRPr="00FD57E4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Pr="00FD57E4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57E4">
        <w:rPr>
          <w:sz w:val="28"/>
          <w:szCs w:val="28"/>
        </w:rPr>
        <w:t>Принятие Законопроекта не повлечет признан</w:t>
      </w:r>
      <w:r w:rsidR="00EA2E5B" w:rsidRPr="00FD57E4">
        <w:rPr>
          <w:sz w:val="28"/>
          <w:szCs w:val="28"/>
        </w:rPr>
        <w:t>и</w:t>
      </w:r>
      <w:r w:rsidRPr="00FD57E4">
        <w:rPr>
          <w:sz w:val="28"/>
          <w:szCs w:val="28"/>
        </w:rPr>
        <w:t>я утратившими силу, приостановлени</w:t>
      </w:r>
      <w:r w:rsidR="00EA2E5B" w:rsidRPr="00FD57E4">
        <w:rPr>
          <w:sz w:val="28"/>
          <w:szCs w:val="28"/>
        </w:rPr>
        <w:t>я</w:t>
      </w:r>
      <w:r w:rsidRPr="00FD57E4">
        <w:rPr>
          <w:sz w:val="28"/>
          <w:szCs w:val="28"/>
        </w:rPr>
        <w:t>, изменени</w:t>
      </w:r>
      <w:r w:rsidR="00EA2E5B" w:rsidRPr="00FD57E4">
        <w:rPr>
          <w:sz w:val="28"/>
          <w:szCs w:val="28"/>
        </w:rPr>
        <w:t>я</w:t>
      </w:r>
      <w:r w:rsidRPr="00FD57E4">
        <w:rPr>
          <w:sz w:val="28"/>
          <w:szCs w:val="28"/>
        </w:rPr>
        <w:t>, дополнени</w:t>
      </w:r>
      <w:r w:rsidR="00EA2E5B" w:rsidRPr="00FD57E4">
        <w:rPr>
          <w:sz w:val="28"/>
          <w:szCs w:val="28"/>
        </w:rPr>
        <w:t>я</w:t>
      </w:r>
      <w:r w:rsidRPr="00FD57E4">
        <w:rPr>
          <w:sz w:val="28"/>
          <w:szCs w:val="28"/>
        </w:rPr>
        <w:t xml:space="preserve"> или приняти</w:t>
      </w:r>
      <w:r w:rsidR="00EA2E5B" w:rsidRPr="00FD57E4">
        <w:rPr>
          <w:sz w:val="28"/>
          <w:szCs w:val="28"/>
        </w:rPr>
        <w:t>я</w:t>
      </w:r>
      <w:r w:rsidRPr="00FD57E4">
        <w:rPr>
          <w:sz w:val="28"/>
          <w:szCs w:val="28"/>
        </w:rPr>
        <w:t xml:space="preserve"> </w:t>
      </w:r>
      <w:r w:rsidR="00EA2E5B" w:rsidRPr="00FD57E4">
        <w:rPr>
          <w:sz w:val="28"/>
          <w:szCs w:val="28"/>
        </w:rPr>
        <w:t>иных законов Удмуртской Республики.</w:t>
      </w:r>
    </w:p>
    <w:p w:rsidR="000A0023" w:rsidRPr="00FD57E4" w:rsidRDefault="00497CEA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57E4">
        <w:rPr>
          <w:sz w:val="28"/>
          <w:szCs w:val="28"/>
        </w:rPr>
        <w:t>К</w:t>
      </w:r>
      <w:r w:rsidR="000A0023" w:rsidRPr="00FD57E4">
        <w:rPr>
          <w:sz w:val="28"/>
          <w:szCs w:val="28"/>
        </w:rPr>
        <w:t xml:space="preserve">оррупциогенных факторов в Законопроекте не выявлено. </w:t>
      </w:r>
      <w:r w:rsidR="00DA5DE5" w:rsidRPr="00FD57E4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Pr="00FD57E4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FD57E4" w:rsidTr="00D80D88">
        <w:tc>
          <w:tcPr>
            <w:tcW w:w="4785" w:type="dxa"/>
          </w:tcPr>
          <w:p w:rsidR="000A0023" w:rsidRPr="00FD57E4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FD57E4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FD57E4" w:rsidRDefault="000A0023" w:rsidP="00D80D88">
            <w:pPr>
              <w:jc w:val="both"/>
              <w:rPr>
                <w:sz w:val="28"/>
                <w:szCs w:val="28"/>
              </w:rPr>
            </w:pPr>
            <w:r w:rsidRPr="00FD57E4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FD57E4" w:rsidRDefault="000A0023" w:rsidP="00D80D88">
            <w:pPr>
              <w:jc w:val="both"/>
              <w:rPr>
                <w:sz w:val="28"/>
                <w:szCs w:val="28"/>
              </w:rPr>
            </w:pPr>
            <w:r w:rsidRPr="00FD57E4">
              <w:rPr>
                <w:sz w:val="28"/>
                <w:szCs w:val="28"/>
              </w:rPr>
              <w:t>Удмуртской Республики –</w:t>
            </w:r>
          </w:p>
          <w:p w:rsidR="000A0023" w:rsidRPr="00FD57E4" w:rsidRDefault="000A0023" w:rsidP="00D80D88">
            <w:pPr>
              <w:jc w:val="both"/>
              <w:rPr>
                <w:rFonts w:cs="Arial"/>
                <w:sz w:val="28"/>
                <w:szCs w:val="28"/>
              </w:rPr>
            </w:pPr>
            <w:r w:rsidRPr="00FD57E4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FD57E4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FD57E4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FD57E4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FD57E4" w:rsidRDefault="00914C0C" w:rsidP="00D80D88">
            <w:pPr>
              <w:jc w:val="right"/>
              <w:rPr>
                <w:rFonts w:cs="Arial"/>
                <w:sz w:val="28"/>
                <w:szCs w:val="28"/>
              </w:rPr>
            </w:pPr>
            <w:r w:rsidRPr="00FD57E4"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r w:rsidRPr="00363E2C">
              <w:rPr>
                <w:rFonts w:cs="Arial"/>
                <w:sz w:val="20"/>
                <w:szCs w:val="20"/>
              </w:rPr>
              <w:t>@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default" r:id="rId6"/>
      <w:headerReference w:type="first" r:id="rId7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CD" w:rsidRDefault="007D6BCD" w:rsidP="002C49BF">
      <w:r>
        <w:separator/>
      </w:r>
    </w:p>
  </w:endnote>
  <w:endnote w:type="continuationSeparator" w:id="0">
    <w:p w:rsidR="007D6BCD" w:rsidRDefault="007D6BC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CD" w:rsidRDefault="007D6BCD" w:rsidP="002C49BF">
      <w:r>
        <w:separator/>
      </w:r>
    </w:p>
  </w:footnote>
  <w:footnote w:type="continuationSeparator" w:id="0">
    <w:p w:rsidR="007D6BCD" w:rsidRDefault="007D6BC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058433"/>
      <w:docPartObj>
        <w:docPartGallery w:val="Page Numbers (Top of Page)"/>
        <w:docPartUnique/>
      </w:docPartObj>
    </w:sdtPr>
    <w:sdtEndPr/>
    <w:sdtContent>
      <w:p w:rsidR="00296191" w:rsidRDefault="00296191" w:rsidP="002961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39">
          <w:rPr>
            <w:noProof/>
          </w:rPr>
          <w:t>2</w:t>
        </w:r>
        <w:r>
          <w:fldChar w:fldCharType="end"/>
        </w:r>
      </w:p>
    </w:sdtContent>
  </w:sdt>
  <w:p w:rsidR="00296191" w:rsidRDefault="002961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66"/>
    <w:rsid w:val="00014EEC"/>
    <w:rsid w:val="00041267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191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3E5A1A"/>
    <w:rsid w:val="004136C6"/>
    <w:rsid w:val="00440A8C"/>
    <w:rsid w:val="00464543"/>
    <w:rsid w:val="00497CEA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7D6BCD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274A7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D7F39"/>
    <w:rsid w:val="00DE2B10"/>
    <w:rsid w:val="00E75384"/>
    <w:rsid w:val="00E85C60"/>
    <w:rsid w:val="00EA2E5B"/>
    <w:rsid w:val="00EB373E"/>
    <w:rsid w:val="00F01666"/>
    <w:rsid w:val="00F8479E"/>
    <w:rsid w:val="00F91D9A"/>
    <w:rsid w:val="00FA5FB2"/>
    <w:rsid w:val="00FB3A96"/>
    <w:rsid w:val="00FD57E4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2C388B-89FD-4669-B88E-06EA0131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54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6</cp:revision>
  <cp:lastPrinted>2022-12-13T06:57:00Z</cp:lastPrinted>
  <dcterms:created xsi:type="dcterms:W3CDTF">2022-12-13T05:16:00Z</dcterms:created>
  <dcterms:modified xsi:type="dcterms:W3CDTF">2022-12-13T11:54:00Z</dcterms:modified>
</cp:coreProperties>
</file>